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77C37">
      <w:pPr>
        <w:spacing w:after="160" w:line="278" w:lineRule="auto"/>
        <w:jc w:val="center"/>
      </w:pPr>
      <w:r>
        <w:rPr>
          <w:b/>
          <w:bCs/>
        </w:rPr>
        <w:t>2026 (28th) China Mining Conference and Exhibition</w:t>
      </w:r>
      <w:r>
        <w:br w:type="textWrapping"/>
      </w:r>
      <w:r>
        <w:rPr>
          <w:b/>
          <w:bCs/>
        </w:rPr>
        <w:t>Mineral Rights Trading Session – Participation Documents</w:t>
      </w:r>
    </w:p>
    <w:p w14:paraId="6E8F5CFA">
      <w:pPr>
        <w:spacing w:after="160" w:line="278" w:lineRule="auto"/>
        <w:jc w:val="center"/>
      </w:pPr>
    </w:p>
    <w:p w14:paraId="73DB5C1E">
      <w:pPr>
        <w:spacing w:after="160" w:line="278" w:lineRule="auto"/>
        <w:jc w:val="center"/>
        <w:rPr>
          <w:b/>
          <w:bCs/>
        </w:rPr>
      </w:pPr>
      <w:r>
        <w:rPr>
          <w:b/>
          <w:bCs/>
        </w:rPr>
        <w:t>LETTER OF UNDERTAKING</w:t>
      </w:r>
      <w:r>
        <w:rPr>
          <w:rFonts w:hint="eastAsia" w:ascii="仿宋" w:hAnsi="仿宋" w:eastAsia="仿宋" w:cs="仿宋"/>
          <w:sz w:val="28"/>
          <w:szCs w:val="28"/>
        </w:rPr>
        <w:t xml:space="preserve">                       </w:t>
      </w:r>
      <w:r>
        <w:rPr>
          <w:rFonts w:hint="eastAsia" w:ascii="方正仿宋_GB2312" w:hAnsi="方正仿宋_GB2312" w:eastAsia="方正仿宋_GB2312" w:cs="方正仿宋_GB2312"/>
          <w:sz w:val="24"/>
          <w:szCs w:val="24"/>
        </w:rPr>
        <w:t xml:space="preserve"> </w:t>
      </w:r>
    </w:p>
    <w:p w14:paraId="16BADE37">
      <w:pPr>
        <w:spacing w:after="160" w:line="278" w:lineRule="auto"/>
      </w:pPr>
      <w:r>
        <w:rPr>
          <w:b/>
          <w:bCs/>
        </w:rPr>
        <w:t>To: China Mining Association and Relevant Institutions</w:t>
      </w:r>
      <w:r>
        <w:rPr>
          <w:rFonts w:hint="eastAsia" w:ascii="仿宋" w:hAnsi="仿宋" w:eastAsia="仿宋" w:cs="仿宋"/>
          <w:b/>
          <w:bCs/>
          <w:sz w:val="28"/>
          <w:szCs w:val="28"/>
        </w:rPr>
        <w:t>：</w:t>
      </w:r>
    </w:p>
    <w:p w14:paraId="19EB90F1">
      <w:pPr>
        <w:spacing w:after="160" w:line="278" w:lineRule="auto"/>
      </w:pPr>
      <w:r>
        <w:t>The undersigned entity (full name): ________________________________ (hereinafter referred to as the "Undertaking Party"), with Unified Social Credit Code: ________________________, Legal Representative: __________________, Address: ________________________________________________.</w:t>
      </w:r>
    </w:p>
    <w:p w14:paraId="7D24206C">
      <w:pPr>
        <w:spacing w:after="160" w:line="278" w:lineRule="auto"/>
      </w:pPr>
      <w:r>
        <w:t xml:space="preserve">The Undertaking Party voluntarily registers to participate in the </w:t>
      </w:r>
      <w:r>
        <w:rPr>
          <w:b/>
          <w:bCs/>
        </w:rPr>
        <w:t>2026 (28th) China Mining Conference and Exhibition – Mineral Rights Trading Session</w:t>
      </w:r>
      <w:r>
        <w:t xml:space="preserve"> (hereinafter referred to as the "Trading Session"). To ensure that the Trading Session is conducted in a standardized, orderly, honest, and secure manner, the Undertaking Party hereby solemnly undertakes as follows:</w:t>
      </w:r>
    </w:p>
    <w:p w14:paraId="54644C57">
      <w:pPr>
        <w:spacing w:after="160" w:line="278" w:lineRule="auto"/>
        <w:rPr>
          <w:b/>
          <w:bCs/>
        </w:rPr>
      </w:pPr>
      <w:r>
        <w:rPr>
          <w:b/>
          <w:bCs/>
        </w:rPr>
        <w:t>I. Truthfulness and Legality of Information</w:t>
      </w:r>
    </w:p>
    <w:p w14:paraId="26D185D1">
      <w:pPr>
        <w:widowControl/>
        <w:numPr>
          <w:ilvl w:val="0"/>
          <w:numId w:val="1"/>
        </w:numPr>
        <w:spacing w:after="160" w:line="278" w:lineRule="auto"/>
        <w:jc w:val="left"/>
      </w:pPr>
      <w:r>
        <w:t>All registration materials submitted by the Undertaking Party to the Trading Session Organizing Committee (including but not limited to registration forms, business licenses, mining licenses, supply and demand information forms, presentations, display board content, etc.), as well as any information disclosed to counterparties, are true, accurate, and free from any intentional false statements or misleading representations.</w:t>
      </w:r>
    </w:p>
    <w:p w14:paraId="4F075F18">
      <w:pPr>
        <w:widowControl/>
        <w:numPr>
          <w:ilvl w:val="0"/>
          <w:numId w:val="1"/>
        </w:numPr>
        <w:spacing w:after="160" w:line="278" w:lineRule="auto"/>
        <w:jc w:val="left"/>
      </w:pPr>
      <w:r>
        <w:t xml:space="preserve">The Undertaking Party warrants that it has the lawful right to dispose of the transaction assets provided, including but not limited to </w:t>
      </w:r>
      <w:r>
        <w:rPr>
          <w:rFonts w:hint="eastAsia"/>
        </w:rPr>
        <w:t>Mineral</w:t>
      </w:r>
      <w:r>
        <w:t xml:space="preserve"> rights, equity interests, mineral products, and technologies. The ownership of such assets is clear and free from any undisclosed mortgage, seizure, dispute, or other legal impediment restricting the transaction.</w:t>
      </w:r>
    </w:p>
    <w:p w14:paraId="226977E4">
      <w:pPr>
        <w:spacing w:after="160" w:line="278" w:lineRule="auto"/>
        <w:rPr>
          <w:b/>
          <w:bCs/>
        </w:rPr>
      </w:pPr>
      <w:r>
        <w:rPr>
          <w:rFonts w:ascii="仿宋" w:hAnsi="仿宋" w:eastAsia="仿宋" w:cs="仿宋"/>
          <w:b/>
          <w:bCs/>
          <w:sz w:val="28"/>
          <w:szCs w:val="28"/>
        </w:rPr>
        <w:t xml:space="preserve"> </w:t>
      </w:r>
      <w:r>
        <w:rPr>
          <w:b/>
          <w:bCs/>
        </w:rPr>
        <w:t>II. Compliance with Trading Session Rules</w:t>
      </w:r>
    </w:p>
    <w:p w14:paraId="4329363A">
      <w:pPr>
        <w:widowControl/>
        <w:numPr>
          <w:ilvl w:val="0"/>
          <w:numId w:val="2"/>
        </w:numPr>
        <w:spacing w:after="160" w:line="278" w:lineRule="auto"/>
        <w:jc w:val="left"/>
      </w:pPr>
      <w:r>
        <w:t xml:space="preserve">The Undertaking Party acknowledges that it has read, understood, and voluntarily agrees to comply with the Registration Guidelines for the 2026 (28th) China Mining Conference and Exhibition – </w:t>
      </w:r>
      <w:r>
        <w:rPr>
          <w:rFonts w:hint="eastAsia"/>
        </w:rPr>
        <w:t>Mineral</w:t>
      </w:r>
      <w:r>
        <w:t xml:space="preserve"> Rights Trading Session, as well as all implementation rules and procedures issued by the organizers.</w:t>
      </w:r>
    </w:p>
    <w:p w14:paraId="1F122517">
      <w:pPr>
        <w:widowControl/>
        <w:numPr>
          <w:ilvl w:val="0"/>
          <w:numId w:val="2"/>
        </w:numPr>
        <w:spacing w:after="160" w:line="278" w:lineRule="auto"/>
        <w:jc w:val="left"/>
      </w:pPr>
      <w:r>
        <w:t>The Undertaking Party undertakes to conduct negotiations and transactions in accordance with the selected transaction method (including independent negotiation, commissioned competitive trading, targeted matchmaking, exclusive negotiation, etc.), and shall not engage in improper conduct such as collusion, price manipulation, false advertising, or other unfair practices.</w:t>
      </w:r>
    </w:p>
    <w:p w14:paraId="1B0FC89E">
      <w:pPr>
        <w:spacing w:after="160" w:line="278" w:lineRule="auto"/>
        <w:rPr>
          <w:b/>
          <w:bCs/>
        </w:rPr>
      </w:pPr>
      <w:r>
        <w:rPr>
          <w:b/>
          <w:bCs/>
        </w:rPr>
        <w:t>III. Good Faith Transactions and Assumption of Risks</w:t>
      </w:r>
    </w:p>
    <w:p w14:paraId="4790037B">
      <w:pPr>
        <w:widowControl/>
        <w:numPr>
          <w:ilvl w:val="0"/>
          <w:numId w:val="3"/>
        </w:numPr>
        <w:spacing w:after="160" w:line="278" w:lineRule="auto"/>
        <w:jc w:val="left"/>
      </w:pPr>
      <w:r>
        <w:t>The Undertaking Party undertakes to engage with other participants in accordance with the principles of honesty, good faith, equality, and mutual benefit. Upon reaching a transaction intention, the Undertaking Party shall strictly perform its obligations as agreed.</w:t>
      </w:r>
    </w:p>
    <w:p w14:paraId="7AE2545B">
      <w:pPr>
        <w:widowControl/>
        <w:numPr>
          <w:ilvl w:val="0"/>
          <w:numId w:val="3"/>
        </w:numPr>
        <w:spacing w:after="160" w:line="278" w:lineRule="auto"/>
        <w:jc w:val="left"/>
      </w:pPr>
      <w:r>
        <w:t>The Undertaking Party fully acknowledges that mining investment and transactions involve risks, including but not limited to resource risks, commodity price fluctuation risks, policy change risks, and approval risks. The Undertaking Party shall make transaction decisions based on its own independent judgment and shall bear all consequences arising from such transactions. The organizers and organizing committee of the Trading Session shall bear no responsibility for any transaction outcomes, including whether a transaction is completed, transaction terms, or performance of contractual obligations.</w:t>
      </w:r>
    </w:p>
    <w:p w14:paraId="36878059">
      <w:pPr>
        <w:spacing w:after="160" w:line="278" w:lineRule="auto"/>
        <w:rPr>
          <w:b/>
          <w:bCs/>
        </w:rPr>
      </w:pPr>
      <w:r>
        <w:rPr>
          <w:b/>
          <w:bCs/>
        </w:rPr>
        <w:t>IV. Confidentiality Obligations</w:t>
      </w:r>
    </w:p>
    <w:p w14:paraId="0753B93E">
      <w:pPr>
        <w:widowControl/>
        <w:numPr>
          <w:ilvl w:val="0"/>
          <w:numId w:val="4"/>
        </w:numPr>
        <w:spacing w:after="160" w:line="278" w:lineRule="auto"/>
        <w:jc w:val="left"/>
      </w:pPr>
      <w:r>
        <w:t>Any business secrets, technical secrets, unpublished mineral rights information, or other confidential information of other participants accessed by the Undertaking Party during the Trading Session shall not be disclosed to any third party or used for any purpose other than the relevant transaction without the prior written consent of the rights holder.</w:t>
      </w:r>
    </w:p>
    <w:p w14:paraId="31F62A02">
      <w:pPr>
        <w:widowControl/>
        <w:numPr>
          <w:ilvl w:val="0"/>
          <w:numId w:val="4"/>
        </w:numPr>
        <w:spacing w:after="160" w:line="278" w:lineRule="auto"/>
        <w:jc w:val="left"/>
      </w:pPr>
      <w:r>
        <w:t xml:space="preserve">The Undertaking Party has signed or will sign the Trading Session's </w:t>
      </w:r>
      <w:r>
        <w:rPr>
          <w:b/>
          <w:bCs/>
        </w:rPr>
        <w:t>Confidentiality Agreement</w:t>
      </w:r>
      <w:r>
        <w:t xml:space="preserve"> and shall strictly perform all obligations thereunder.</w:t>
      </w:r>
    </w:p>
    <w:p w14:paraId="7AF97602">
      <w:pPr>
        <w:spacing w:after="160" w:line="278" w:lineRule="auto"/>
        <w:rPr>
          <w:b/>
          <w:bCs/>
        </w:rPr>
      </w:pPr>
      <w:r>
        <w:rPr>
          <w:b/>
          <w:bCs/>
        </w:rPr>
        <w:t>V. Compliance and Integrity</w:t>
      </w:r>
    </w:p>
    <w:p w14:paraId="4F31138D">
      <w:pPr>
        <w:widowControl/>
        <w:numPr>
          <w:ilvl w:val="0"/>
          <w:numId w:val="5"/>
        </w:numPr>
        <w:spacing w:after="160" w:line="278" w:lineRule="auto"/>
        <w:jc w:val="left"/>
      </w:pPr>
      <w:r>
        <w:t>The Undertaking Party undertakes to strictly comply with all applicable laws and regulations during the Trading Session and shall not engage in money laundering, illegal fundraising, insider trading, commercial bribery, or any other unlawful activities.</w:t>
      </w:r>
    </w:p>
    <w:p w14:paraId="28C7E68F">
      <w:pPr>
        <w:widowControl/>
        <w:numPr>
          <w:ilvl w:val="0"/>
          <w:numId w:val="5"/>
        </w:numPr>
        <w:spacing w:after="160" w:line="278" w:lineRule="auto"/>
        <w:jc w:val="left"/>
      </w:pPr>
      <w:r>
        <w:t>The Undertaking Party shall not provide any improper benefits to the organizers, affiliated personnel, or other participants, nor shall it seek to influence the fairness of any transaction in any manner.</w:t>
      </w:r>
    </w:p>
    <w:p w14:paraId="4F054D72">
      <w:pPr>
        <w:spacing w:after="160" w:line="278" w:lineRule="auto"/>
        <w:rPr>
          <w:b/>
          <w:bCs/>
        </w:rPr>
      </w:pPr>
      <w:r>
        <w:rPr>
          <w:b/>
          <w:bCs/>
        </w:rPr>
        <w:t>VI. Liability</w:t>
      </w:r>
    </w:p>
    <w:p w14:paraId="1978E09D">
      <w:pPr>
        <w:widowControl/>
        <w:numPr>
          <w:ilvl w:val="0"/>
          <w:numId w:val="6"/>
        </w:numPr>
        <w:spacing w:after="160" w:line="278" w:lineRule="auto"/>
        <w:jc w:val="left"/>
      </w:pPr>
      <w:r>
        <w:t>If the Undertaking Party breaches any provision of this Letter of Undertaking, it shall bear all corresponding legal liabilities and compensate the organizers, organizing committee, or other participants for any losses incurred as a result.</w:t>
      </w:r>
    </w:p>
    <w:p w14:paraId="4D4DA47A">
      <w:pPr>
        <w:widowControl/>
        <w:numPr>
          <w:ilvl w:val="0"/>
          <w:numId w:val="6"/>
        </w:numPr>
        <w:spacing w:after="160" w:line="278" w:lineRule="auto"/>
        <w:jc w:val="left"/>
      </w:pPr>
      <w:r>
        <w:t>The organizers reserve the right to take measures against any participating entity or individual who breaches this undertaking, including issuing notices of violation, revoking participation qualifications, and restricting participation in future events.</w:t>
      </w:r>
    </w:p>
    <w:p w14:paraId="41F04D7B">
      <w:pPr>
        <w:spacing w:after="160" w:line="278" w:lineRule="auto"/>
        <w:rPr>
          <w:b/>
          <w:bCs/>
        </w:rPr>
      </w:pPr>
      <w:r>
        <w:rPr>
          <w:b/>
          <w:bCs/>
        </w:rPr>
        <w:t>VII. Term of Validity</w:t>
      </w:r>
    </w:p>
    <w:p w14:paraId="3AD950A9">
      <w:pPr>
        <w:spacing w:after="160" w:line="278" w:lineRule="auto"/>
      </w:pPr>
      <w:r>
        <w:t>This Letter of Undertaking shall become effective upon execution by the Undertaking Party and shall remain valid until three years after the conclusion of the Trading Session (12 September 2029). Where laws, regulations, or industry practices impose specific requirements, such requirements shall prevail.</w:t>
      </w:r>
    </w:p>
    <w:p w14:paraId="41D988C0">
      <w:pPr>
        <w:spacing w:after="160" w:line="278" w:lineRule="auto"/>
        <w:rPr>
          <w:b/>
          <w:bCs/>
        </w:rPr>
      </w:pPr>
      <w:r>
        <w:rPr>
          <w:b/>
          <w:bCs/>
        </w:rPr>
        <w:t>VIII. Governing Law and Dispute Resolution</w:t>
      </w:r>
    </w:p>
    <w:p w14:paraId="515FF767">
      <w:pPr>
        <w:spacing w:after="160" w:line="278" w:lineRule="auto"/>
      </w:pPr>
      <w:r>
        <w:t>The interpretation of and any disputes arising from this Letter of Undertaking shall be governed by the laws of the People's Republic of China.</w:t>
      </w:r>
    </w:p>
    <w:p w14:paraId="69A31976">
      <w:pPr>
        <w:spacing w:after="160" w:line="278" w:lineRule="auto"/>
      </w:pPr>
      <w:r>
        <w:t xml:space="preserve">Any dispute arising from or in connection with this Letter of Undertaking shall first be resolved through friendly consultation. If consultation fails, the dispute shall be submitted to the </w:t>
      </w:r>
      <w:r>
        <w:rPr>
          <w:b/>
          <w:bCs/>
        </w:rPr>
        <w:t>Shenzhen Court of International Arbitration (SCIA)</w:t>
      </w:r>
      <w:r>
        <w:t xml:space="preserve"> for arbitration in accordance with its arbitration rules then in effect.</w:t>
      </w:r>
    </w:p>
    <w:p w14:paraId="37962DD6">
      <w:pPr>
        <w:spacing w:after="160" w:line="278" w:lineRule="auto"/>
      </w:pPr>
      <w:r>
        <w:rPr>
          <w:rFonts w:hint="eastAsia"/>
          <w:b/>
          <w:bCs/>
        </w:rPr>
        <w:t>This Undertaking is hereby given</w:t>
      </w:r>
      <w:r>
        <w:rPr>
          <w:b/>
          <w:bCs/>
        </w:rPr>
        <w:t>.</w:t>
      </w:r>
    </w:p>
    <w:p w14:paraId="7634E98D">
      <w:pPr>
        <w:spacing w:line="560" w:lineRule="exact"/>
        <w:ind w:firstLine="560" w:firstLineChars="200"/>
        <w:rPr>
          <w:rFonts w:ascii="仿宋" w:hAnsi="仿宋" w:eastAsia="仿宋" w:cs="仿宋"/>
          <w:sz w:val="28"/>
          <w:szCs w:val="28"/>
        </w:rPr>
      </w:pPr>
      <w:bookmarkStart w:id="1" w:name="_GoBack"/>
      <w:bookmarkEnd w:id="1"/>
    </w:p>
    <w:p w14:paraId="10D0861D">
      <w:pPr>
        <w:spacing w:after="160" w:line="278" w:lineRule="auto"/>
      </w:pPr>
      <w:r>
        <w:t>Undertaking Party (Seal): ______________________</w:t>
      </w:r>
    </w:p>
    <w:p w14:paraId="2AB5B13F">
      <w:pPr>
        <w:spacing w:after="160" w:line="278" w:lineRule="auto"/>
      </w:pPr>
      <w:r>
        <w:t>Signature of Legal Representative (or Authorized Representative): ______________________</w:t>
      </w:r>
    </w:p>
    <w:p w14:paraId="175D85E5">
      <w:pPr>
        <w:spacing w:after="160" w:line="278" w:lineRule="auto"/>
      </w:pPr>
      <w:r>
        <w:t>Date: ______________________</w:t>
      </w:r>
    </w:p>
    <w:p w14:paraId="7B4E234A">
      <w:pPr>
        <w:rPr>
          <w:rFonts w:ascii="宋体" w:hAnsi="宋体" w:eastAsia="宋体" w:cs="宋体"/>
          <w:sz w:val="24"/>
          <w:szCs w:val="24"/>
        </w:rPr>
      </w:pPr>
    </w:p>
    <w:p w14:paraId="7FACC072">
      <w:bookmarkStart w:id="0" w:name="_Toc1697444196"/>
      <w:r>
        <w:rPr>
          <w:rFonts w:hint="eastAsia" w:ascii="方正小标宋简体" w:hAnsi="方正小标宋简体" w:eastAsia="方正小标宋简体" w:cs="方正小标宋简体"/>
          <w:color w:val="000000" w:themeColor="text1"/>
          <w:kern w:val="0"/>
          <w:sz w:val="36"/>
          <w:szCs w:val="36"/>
          <w:lang w:bidi="ar"/>
          <w14:textFill>
            <w14:solidFill>
              <w14:schemeClr w14:val="tx1"/>
            </w14:solidFill>
          </w14:textFill>
        </w:rPr>
        <w:tab/>
      </w:r>
      <w:bookmarkEnd w:id="0"/>
    </w:p>
    <w:sectPr>
      <w:footerReference r:id="rId3" w:type="default"/>
      <w:pgSz w:w="11906" w:h="16838"/>
      <w:pgMar w:top="1361" w:right="1361" w:bottom="1361"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1" w:fontKey="{2B9736BD-FA8E-4EF3-9321-0B5169A419A1}"/>
  </w:font>
  <w:font w:name="方正仿宋_GB2312">
    <w:altName w:val="微软雅黑"/>
    <w:panose1 w:val="00000000000000000000"/>
    <w:charset w:val="86"/>
    <w:family w:val="auto"/>
    <w:pitch w:val="default"/>
    <w:sig w:usb0="00000000" w:usb1="00000000" w:usb2="00000012" w:usb3="00000000" w:csb0="00040001" w:csb1="00000000"/>
    <w:embedRegular r:id="rId2" w:fontKey="{1815A4C3-8B5D-4603-9DAD-337E97164643}"/>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A00002BF" w:usb1="184F6CFA" w:usb2="00000012" w:usb3="00000000" w:csb0="00040001" w:csb1="00000000"/>
    <w:embedRegular r:id="rId3" w:fontKey="{B6B8F8E8-4682-40C2-80CB-498B8DDE936A}"/>
  </w:font>
  <w:font w:name="KSOFE44433F1">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8A189">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F58AC3">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8F58AC3">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8A7158"/>
    <w:multiLevelType w:val="multilevel"/>
    <w:tmpl w:val="378A715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386C4841"/>
    <w:multiLevelType w:val="multilevel"/>
    <w:tmpl w:val="386C484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3904186D"/>
    <w:multiLevelType w:val="multilevel"/>
    <w:tmpl w:val="3904186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467830D2"/>
    <w:multiLevelType w:val="multilevel"/>
    <w:tmpl w:val="467830D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4A351CDC"/>
    <w:multiLevelType w:val="multilevel"/>
    <w:tmpl w:val="4A351CD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5385528F"/>
    <w:multiLevelType w:val="multilevel"/>
    <w:tmpl w:val="5385528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5"/>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87"/>
    <w:rsid w:val="002D4055"/>
    <w:rsid w:val="00395B87"/>
    <w:rsid w:val="006A6577"/>
    <w:rsid w:val="00784D65"/>
    <w:rsid w:val="0081067E"/>
    <w:rsid w:val="009F0E38"/>
    <w:rsid w:val="00A60882"/>
    <w:rsid w:val="00B74645"/>
    <w:rsid w:val="00BB0BEC"/>
    <w:rsid w:val="0107676F"/>
    <w:rsid w:val="07F312D2"/>
    <w:rsid w:val="09A20370"/>
    <w:rsid w:val="23BF2618"/>
    <w:rsid w:val="37A64DEA"/>
    <w:rsid w:val="4048640C"/>
    <w:rsid w:val="45F37654"/>
    <w:rsid w:val="4A982C7D"/>
    <w:rsid w:val="4E8D576B"/>
    <w:rsid w:val="50DC644B"/>
    <w:rsid w:val="537310F8"/>
    <w:rsid w:val="59793D7A"/>
    <w:rsid w:val="5EBC5FAF"/>
    <w:rsid w:val="627C5C92"/>
    <w:rsid w:val="63F91396"/>
    <w:rsid w:val="656C64A8"/>
    <w:rsid w:val="6655487D"/>
    <w:rsid w:val="7288540B"/>
    <w:rsid w:val="72DA534A"/>
    <w:rsid w:val="7A0A2078"/>
    <w:rsid w:val="7AD91EED"/>
    <w:rsid w:val="7BA51F1B"/>
    <w:rsid w:val="7CD75E11"/>
    <w:rsid w:val="7E941F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4"/>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7"/>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5"/>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8"/>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9"/>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30"/>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1"/>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2"/>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footer"/>
    <w:basedOn w:val="1"/>
    <w:link w:val="42"/>
    <w:unhideWhenUsed/>
    <w:qFormat/>
    <w:uiPriority w:val="99"/>
    <w:pPr>
      <w:tabs>
        <w:tab w:val="center" w:pos="4153"/>
        <w:tab w:val="right" w:pos="8306"/>
      </w:tabs>
      <w:snapToGrid w:val="0"/>
      <w:jc w:val="left"/>
    </w:pPr>
    <w:rPr>
      <w:sz w:val="18"/>
    </w:rPr>
  </w:style>
  <w:style w:type="paragraph" w:styleId="13">
    <w:name w:val="header"/>
    <w:basedOn w:val="1"/>
    <w:link w:val="43"/>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unhideWhenUsed/>
    <w:qFormat/>
    <w:uiPriority w:val="39"/>
  </w:style>
  <w:style w:type="paragraph" w:styleId="15">
    <w:name w:val="Subtitle"/>
    <w:basedOn w:val="1"/>
    <w:next w:val="1"/>
    <w:link w:val="34"/>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unhideWhenUsed/>
    <w:qFormat/>
    <w:uiPriority w:val="99"/>
    <w:pPr>
      <w:widowControl/>
      <w:spacing w:before="120" w:after="120"/>
      <w:ind w:firstLine="420"/>
      <w:jc w:val="left"/>
    </w:pPr>
    <w:rPr>
      <w:rFonts w:hint="eastAsia" w:ascii="宋体" w:hAnsi="宋体" w:eastAsia="宋体" w:cs="Times New Roman"/>
      <w:kern w:val="0"/>
      <w:sz w:val="24"/>
      <w:szCs w:val="24"/>
    </w:rPr>
  </w:style>
  <w:style w:type="paragraph" w:styleId="17">
    <w:name w:val="Title"/>
    <w:basedOn w:val="1"/>
    <w:next w:val="1"/>
    <w:link w:val="33"/>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9">
    <w:name w:val="Table Grid"/>
    <w:basedOn w:val="18"/>
    <w:qFormat/>
    <w:uiPriority w:val="39"/>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1">
    <w:name w:val="Strong"/>
    <w:basedOn w:val="20"/>
    <w:qFormat/>
    <w:uiPriority w:val="0"/>
    <w:rPr>
      <w:b/>
    </w:rPr>
  </w:style>
  <w:style w:type="character" w:styleId="22">
    <w:name w:val="FollowedHyperlink"/>
    <w:basedOn w:val="20"/>
    <w:unhideWhenUsed/>
    <w:qFormat/>
    <w:uiPriority w:val="99"/>
    <w:rPr>
      <w:color w:val="954F72"/>
      <w:u w:val="single"/>
    </w:rPr>
  </w:style>
  <w:style w:type="character" w:styleId="23">
    <w:name w:val="Hyperlink"/>
    <w:basedOn w:val="20"/>
    <w:unhideWhenUsed/>
    <w:qFormat/>
    <w:uiPriority w:val="99"/>
    <w:rPr>
      <w:color w:val="0563C1"/>
      <w:u w:val="single"/>
    </w:rPr>
  </w:style>
  <w:style w:type="character" w:customStyle="1" w:styleId="24">
    <w:name w:val="Heading 2 Char"/>
    <w:basedOn w:val="20"/>
    <w:link w:val="3"/>
    <w:qFormat/>
    <w:uiPriority w:val="9"/>
    <w:rPr>
      <w:rFonts w:asciiTheme="majorHAnsi" w:hAnsiTheme="majorHAnsi" w:eastAsiaTheme="majorEastAsia" w:cstheme="majorBidi"/>
      <w:color w:val="2F5597" w:themeColor="accent1" w:themeShade="BF"/>
      <w:sz w:val="40"/>
      <w:szCs w:val="40"/>
    </w:rPr>
  </w:style>
  <w:style w:type="character" w:customStyle="1" w:styleId="25">
    <w:name w:val="Heading 4 Char"/>
    <w:basedOn w:val="20"/>
    <w:link w:val="5"/>
    <w:semiHidden/>
    <w:qFormat/>
    <w:uiPriority w:val="9"/>
    <w:rPr>
      <w:rFonts w:cstheme="majorBidi"/>
      <w:color w:val="2F5597" w:themeColor="accent1" w:themeShade="BF"/>
      <w:sz w:val="28"/>
      <w:szCs w:val="28"/>
    </w:rPr>
  </w:style>
  <w:style w:type="character" w:customStyle="1" w:styleId="26">
    <w:name w:val="Heading 1 Char"/>
    <w:basedOn w:val="20"/>
    <w:link w:val="2"/>
    <w:qFormat/>
    <w:uiPriority w:val="9"/>
    <w:rPr>
      <w:rFonts w:asciiTheme="majorHAnsi" w:hAnsiTheme="majorHAnsi" w:eastAsiaTheme="majorEastAsia" w:cstheme="majorBidi"/>
      <w:color w:val="2F5597" w:themeColor="accent1" w:themeShade="BF"/>
      <w:sz w:val="48"/>
      <w:szCs w:val="48"/>
    </w:rPr>
  </w:style>
  <w:style w:type="character" w:customStyle="1" w:styleId="27">
    <w:name w:val="Heading 3 Char"/>
    <w:basedOn w:val="20"/>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8">
    <w:name w:val="Heading 5 Char"/>
    <w:basedOn w:val="20"/>
    <w:link w:val="6"/>
    <w:semiHidden/>
    <w:qFormat/>
    <w:uiPriority w:val="9"/>
    <w:rPr>
      <w:rFonts w:cstheme="majorBidi"/>
      <w:color w:val="2F5597" w:themeColor="accent1" w:themeShade="BF"/>
      <w:sz w:val="24"/>
      <w:szCs w:val="24"/>
    </w:rPr>
  </w:style>
  <w:style w:type="character" w:customStyle="1" w:styleId="29">
    <w:name w:val="Heading 6 Char"/>
    <w:basedOn w:val="20"/>
    <w:link w:val="7"/>
    <w:semiHidden/>
    <w:qFormat/>
    <w:uiPriority w:val="9"/>
    <w:rPr>
      <w:rFonts w:cstheme="majorBidi"/>
      <w:b/>
      <w:bCs/>
      <w:color w:val="2F5597" w:themeColor="accent1" w:themeShade="BF"/>
    </w:rPr>
  </w:style>
  <w:style w:type="character" w:customStyle="1" w:styleId="30">
    <w:name w:val="Heading 7 Char"/>
    <w:basedOn w:val="20"/>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1">
    <w:name w:val="Heading 8 Char"/>
    <w:basedOn w:val="20"/>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2">
    <w:name w:val="Heading 9 Char"/>
    <w:basedOn w:val="20"/>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3">
    <w:name w:val="Title Char"/>
    <w:basedOn w:val="20"/>
    <w:link w:val="17"/>
    <w:qFormat/>
    <w:uiPriority w:val="10"/>
    <w:rPr>
      <w:rFonts w:asciiTheme="majorHAnsi" w:hAnsiTheme="majorHAnsi" w:eastAsiaTheme="majorEastAsia" w:cstheme="majorBidi"/>
      <w:spacing w:val="-10"/>
      <w:kern w:val="28"/>
      <w:sz w:val="56"/>
      <w:szCs w:val="56"/>
    </w:rPr>
  </w:style>
  <w:style w:type="character" w:customStyle="1" w:styleId="34">
    <w:name w:val="Subtitle Char"/>
    <w:basedOn w:val="20"/>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customStyle="1" w:styleId="35">
    <w:name w:val="Quote1"/>
    <w:basedOn w:val="1"/>
    <w:next w:val="1"/>
    <w:link w:val="36"/>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6">
    <w:name w:val="引用 字符"/>
    <w:basedOn w:val="20"/>
    <w:link w:val="35"/>
    <w:qFormat/>
    <w:uiPriority w:val="29"/>
    <w:rPr>
      <w:i/>
      <w:iCs/>
      <w:color w:val="404040" w:themeColor="text1" w:themeTint="BF"/>
      <w14:textFill>
        <w14:solidFill>
          <w14:schemeClr w14:val="tx1">
            <w14:lumMod w14:val="75000"/>
            <w14:lumOff w14:val="25000"/>
          </w14:schemeClr>
        </w14:solidFill>
      </w14:textFill>
    </w:rPr>
  </w:style>
  <w:style w:type="paragraph" w:customStyle="1" w:styleId="37">
    <w:name w:val="List Paragraph1"/>
    <w:basedOn w:val="1"/>
    <w:qFormat/>
    <w:uiPriority w:val="34"/>
    <w:pPr>
      <w:ind w:left="720"/>
      <w:contextualSpacing/>
    </w:pPr>
  </w:style>
  <w:style w:type="character" w:customStyle="1" w:styleId="38">
    <w:name w:val="明显强调1"/>
    <w:basedOn w:val="20"/>
    <w:qFormat/>
    <w:uiPriority w:val="21"/>
    <w:rPr>
      <w:i/>
      <w:iCs/>
      <w:color w:val="2F5597" w:themeColor="accent1" w:themeShade="BF"/>
    </w:rPr>
  </w:style>
  <w:style w:type="paragraph" w:customStyle="1" w:styleId="39">
    <w:name w:val="Intense Quote1"/>
    <w:basedOn w:val="1"/>
    <w:next w:val="1"/>
    <w:link w:val="40"/>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40">
    <w:name w:val="明显引用 字符"/>
    <w:basedOn w:val="20"/>
    <w:link w:val="39"/>
    <w:qFormat/>
    <w:uiPriority w:val="30"/>
    <w:rPr>
      <w:i/>
      <w:iCs/>
      <w:color w:val="2F5597" w:themeColor="accent1" w:themeShade="BF"/>
    </w:rPr>
  </w:style>
  <w:style w:type="character" w:customStyle="1" w:styleId="41">
    <w:name w:val="明显参考1"/>
    <w:basedOn w:val="20"/>
    <w:qFormat/>
    <w:uiPriority w:val="32"/>
    <w:rPr>
      <w:b/>
      <w:bCs/>
      <w:smallCaps/>
      <w:color w:val="2F5597" w:themeColor="accent1" w:themeShade="BF"/>
      <w:spacing w:val="5"/>
    </w:rPr>
  </w:style>
  <w:style w:type="character" w:customStyle="1" w:styleId="42">
    <w:name w:val="Footer Char"/>
    <w:basedOn w:val="20"/>
    <w:link w:val="12"/>
    <w:qFormat/>
    <w:uiPriority w:val="0"/>
    <w:rPr>
      <w:rFonts w:hint="default" w:ascii="Calibri" w:hAnsi="Calibri" w:cs="Arial"/>
      <w:kern w:val="2"/>
      <w:sz w:val="18"/>
      <w:szCs w:val="18"/>
    </w:rPr>
  </w:style>
  <w:style w:type="character" w:customStyle="1" w:styleId="43">
    <w:name w:val="Header Char"/>
    <w:basedOn w:val="20"/>
    <w:link w:val="13"/>
    <w:qFormat/>
    <w:uiPriority w:val="0"/>
    <w:rPr>
      <w:rFonts w:hint="default" w:ascii="Calibri" w:hAnsi="Calibri" w:eastAsia="宋体" w:cs="Arial"/>
      <w:kern w:val="2"/>
      <w:sz w:val="18"/>
      <w:szCs w:val="18"/>
    </w:rPr>
  </w:style>
  <w:style w:type="paragraph" w:customStyle="1" w:styleId="44">
    <w:name w:val="msolistparagraph"/>
    <w:basedOn w:val="1"/>
    <w:qFormat/>
    <w:uiPriority w:val="0"/>
    <w:pPr>
      <w:spacing w:after="160" w:line="276" w:lineRule="auto"/>
      <w:ind w:left="720"/>
      <w:contextualSpacing/>
    </w:pPr>
    <w:rPr>
      <w:rFonts w:ascii="Calibri" w:hAnsi="Calibri" w:eastAsia="宋体" w:cs="Times New Roman"/>
    </w:rPr>
  </w:style>
  <w:style w:type="paragraph" w:customStyle="1" w:styleId="45">
    <w:name w:val="note"/>
    <w:basedOn w:val="1"/>
    <w:qFormat/>
    <w:uiPriority w:val="0"/>
    <w:pPr>
      <w:widowControl/>
      <w:pBdr>
        <w:top w:val="dashed" w:color="999999" w:sz="8" w:space="8"/>
      </w:pBdr>
      <w:spacing w:before="400"/>
      <w:jc w:val="left"/>
    </w:pPr>
    <w:rPr>
      <w:rFonts w:hint="eastAsia" w:ascii="宋体" w:hAnsi="宋体" w:eastAsia="宋体" w:cs="Times New Roman"/>
      <w:color w:val="333333"/>
      <w:kern w:val="0"/>
      <w:sz w:val="20"/>
      <w:szCs w:val="20"/>
    </w:rPr>
  </w:style>
  <w:style w:type="paragraph" w:styleId="46">
    <w:name w:val="List Paragraph"/>
    <w:basedOn w:val="1"/>
    <w:unhideWhenUsed/>
    <w:qFormat/>
    <w:uiPriority w:val="99"/>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Karara Mining LTD</Company>
  <Pages>3</Pages>
  <Words>792</Words>
  <Characters>5074</Characters>
  <Lines>90</Lines>
  <Paragraphs>38</Paragraphs>
  <TotalTime>26</TotalTime>
  <ScaleCrop>false</ScaleCrop>
  <LinksUpToDate>false</LinksUpToDate>
  <CharactersWithSpaces>5858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2026-06-04T03:19:00Z</dcterms:created>
  <dc:creator>姜 姜</dc:creator>
  <cp:lastModifiedBy>胡纯晓</cp:lastModifiedBy>
  <dcterms:modified xsi:type="dcterms:W3CDTF">2026-06-11T05:51:22Z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728AB069AD774BA2A2F54A165066FF7C_13</vt:lpwstr>
  </property>
  <property fmtid="{D5CDD505-2E9C-101B-9397-08002B2CF9AE}" pid="4" name="KSOTemplateDocerSaveRecord">
    <vt:lpwstr>eyJoZGlkIjoiNjE1NWY5NmNlN2Y1YmU3NjM1YzVhOGM5Y2RlNWY3MzAiLCJ1c2VySWQiOiIxMTc4MTI3MzEwIn0=</vt:lpwstr>
  </property>
</Properties>
</file>